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19FC61FA" w:rsidR="008F0809" w:rsidRPr="005F6B11" w:rsidRDefault="005F6B11" w:rsidP="00F85D9C">
      <w:pPr>
        <w:pStyle w:val="Overskrift1"/>
      </w:pPr>
      <w:r>
        <w:t xml:space="preserve"> </w:t>
      </w:r>
      <w:r>
        <w:tab/>
      </w:r>
      <w:r w:rsidR="00DB4428" w:rsidRPr="005F6B11">
        <w:t>I</w:t>
      </w:r>
      <w:r w:rsidR="003E6185" w:rsidRPr="005F6B11">
        <w:t>nnovation</w:t>
      </w:r>
      <w:r w:rsidR="00DB4428" w:rsidRPr="005F6B11">
        <w:t xml:space="preserve"> i transportsektoren</w:t>
      </w:r>
    </w:p>
    <w:p w14:paraId="23CAAD8B" w14:textId="1D07884E" w:rsidR="004C60B4" w:rsidRPr="005F6B11" w:rsidRDefault="004C60B4" w:rsidP="004C60B4">
      <w:pPr>
        <w:pStyle w:val="Overskrift2"/>
        <w:spacing w:before="0"/>
      </w:pPr>
      <w:r w:rsidRPr="005F6B11">
        <w:t xml:space="preserve"> </w:t>
      </w:r>
      <w:r w:rsidRPr="005F6B11">
        <w:tab/>
        <w:t>Innovation og containere</w:t>
      </w:r>
    </w:p>
    <w:p w14:paraId="31708191" w14:textId="77777777" w:rsidR="004C60B4" w:rsidRPr="005F6B11" w:rsidRDefault="004C60B4" w:rsidP="004C60B4">
      <w:pPr>
        <w:pStyle w:val="MainmainMAIN"/>
        <w:spacing w:after="0"/>
      </w:pPr>
      <w:r w:rsidRPr="005F6B11">
        <w:rPr>
          <w:i/>
          <w:iCs/>
        </w:rPr>
        <w:t>Formål</w:t>
      </w:r>
    </w:p>
    <w:p w14:paraId="442769DF" w14:textId="637642F5" w:rsidR="004C60B4" w:rsidRPr="005F6B11" w:rsidRDefault="004C60B4" w:rsidP="004C60B4">
      <w:pPr>
        <w:pStyle w:val="MainmainMAIN"/>
        <w:spacing w:after="0"/>
      </w:pPr>
      <w:r w:rsidRPr="005F6B11">
        <w:t>At få en kort introduktion til containerens rolle i verdenshandlen.</w:t>
      </w:r>
    </w:p>
    <w:p w14:paraId="4AF3A0DF" w14:textId="77777777" w:rsidR="004C60B4" w:rsidRPr="005F6B11" w:rsidRDefault="004C60B4" w:rsidP="004C60B4">
      <w:pPr>
        <w:pStyle w:val="MainmainMAIN"/>
        <w:spacing w:after="0"/>
      </w:pPr>
    </w:p>
    <w:p w14:paraId="371573D1" w14:textId="4504C7EA" w:rsidR="004C60B4" w:rsidRPr="005F6B11" w:rsidRDefault="004C60B4" w:rsidP="004C60B4">
      <w:pPr>
        <w:pStyle w:val="MainmainMAIN"/>
        <w:spacing w:after="0"/>
      </w:pPr>
      <w:r w:rsidRPr="005F6B11">
        <w:rPr>
          <w:i/>
          <w:iCs/>
        </w:rPr>
        <w:t>Opgave</w:t>
      </w:r>
    </w:p>
    <w:p w14:paraId="4D08F0AB" w14:textId="77777777" w:rsidR="004C60B4" w:rsidRPr="005F6B11" w:rsidRDefault="004C60B4" w:rsidP="00BB3279">
      <w:pPr>
        <w:pStyle w:val="MainmainMAIN"/>
        <w:numPr>
          <w:ilvl w:val="0"/>
          <w:numId w:val="24"/>
        </w:numPr>
        <w:spacing w:after="0"/>
      </w:pPr>
      <w:r w:rsidRPr="005F6B11">
        <w:t>Diskutér de forskellige typer af innovation, som er knyttet til ISO-containeren.</w:t>
      </w:r>
    </w:p>
    <w:p w14:paraId="6B059E7E" w14:textId="77777777" w:rsidR="004C60B4" w:rsidRPr="005F6B11" w:rsidRDefault="004C60B4" w:rsidP="00BB3279">
      <w:pPr>
        <w:pStyle w:val="MainmainMAIN"/>
        <w:numPr>
          <w:ilvl w:val="0"/>
          <w:numId w:val="24"/>
        </w:numPr>
        <w:spacing w:after="0"/>
      </w:pPr>
      <w:r w:rsidRPr="005F6B11">
        <w:t>Diskutér udfordringerne i denne type logistik (monopolisering, fordeling af containere, ejerskab af containere) samt råstofforbruget.</w:t>
      </w:r>
    </w:p>
    <w:p w14:paraId="519E47D3" w14:textId="6C9E8C62" w:rsidR="004C60B4" w:rsidRPr="005F6B11" w:rsidRDefault="004C60B4" w:rsidP="00BB3279">
      <w:pPr>
        <w:pStyle w:val="MainmainMAIN"/>
        <w:numPr>
          <w:ilvl w:val="0"/>
          <w:numId w:val="24"/>
        </w:numPr>
        <w:spacing w:after="0"/>
      </w:pPr>
      <w:r w:rsidRPr="005F6B11">
        <w:t xml:space="preserve">Diskutér datagrundlaget (Figur 93 </w:t>
      </w:r>
      <w:r w:rsidRPr="005F6B11">
        <w:rPr>
          <w:i/>
          <w:iCs/>
        </w:rPr>
        <w:t>Containerdimensioner</w:t>
      </w:r>
      <w:r w:rsidRPr="005F6B11">
        <w:t xml:space="preserve"> og oplysninger fra Budget Shipping Containers, </w:t>
      </w:r>
      <w:hyperlink r:id="rId11" w:history="1">
        <w:r w:rsidR="00BB3279" w:rsidRPr="005F6B11">
          <w:rPr>
            <w:rStyle w:val="Hyperlink"/>
          </w:rPr>
          <w:t>https://www.budgetshippingcontainers.co.uk/</w:t>
        </w:r>
      </w:hyperlink>
      <w:r w:rsidRPr="005F6B11">
        <w:t>).</w:t>
      </w:r>
    </w:p>
    <w:p w14:paraId="0E889E13" w14:textId="77777777" w:rsidR="00BB3279" w:rsidRPr="005F6B11" w:rsidRDefault="00BB3279" w:rsidP="00BB3279">
      <w:pPr>
        <w:pStyle w:val="MainmainMAIN"/>
        <w:spacing w:after="0"/>
      </w:pPr>
    </w:p>
    <w:p w14:paraId="403653D3" w14:textId="765D1067" w:rsidR="004C60B4" w:rsidRPr="005F6B11" w:rsidRDefault="004C60B4" w:rsidP="004C60B4">
      <w:pPr>
        <w:pStyle w:val="MainmainMAIN"/>
        <w:spacing w:after="0"/>
      </w:pPr>
      <w:r w:rsidRPr="005F6B11">
        <w:rPr>
          <w:noProof/>
        </w:rPr>
        <w:drawing>
          <wp:inline distT="0" distB="0" distL="0" distR="0" wp14:anchorId="6C262ED9" wp14:editId="197C7E8B">
            <wp:extent cx="3600000" cy="2538000"/>
            <wp:effectExtent l="0" t="0" r="635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53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AAE40" w14:textId="17C1A67B" w:rsidR="004C60B4" w:rsidRPr="005F6B11" w:rsidRDefault="004C60B4" w:rsidP="00BB3279">
      <w:pPr>
        <w:pStyle w:val="SubfigureSUB"/>
      </w:pPr>
      <w:r w:rsidRPr="00434A9C">
        <w:rPr>
          <w:color w:val="FF0000"/>
          <w:lang w:val="en-US"/>
        </w:rPr>
        <w:t>Figur 93</w:t>
      </w:r>
      <w:r w:rsidR="00BB3279" w:rsidRPr="00434A9C">
        <w:rPr>
          <w:color w:val="FF0000"/>
          <w:lang w:val="en-US"/>
        </w:rPr>
        <w:t>.</w:t>
      </w:r>
      <w:r w:rsidR="00BB3279" w:rsidRPr="00434A9C">
        <w:rPr>
          <w:lang w:val="en-US"/>
        </w:rPr>
        <w:t xml:space="preserve"> </w:t>
      </w:r>
      <w:r w:rsidRPr="00434A9C">
        <w:rPr>
          <w:lang w:val="en-US"/>
        </w:rPr>
        <w:t>Dimensioner for standardcontainere (TEU: Twenty-foot Equivalent Unit). </w:t>
      </w:r>
      <w:r w:rsidR="006002E2" w:rsidRPr="005F6B11">
        <w:t xml:space="preserve">Af </w:t>
      </w:r>
      <w:proofErr w:type="spellStart"/>
      <w:r w:rsidR="006002E2" w:rsidRPr="005F6B11">
        <w:t>MiMa</w:t>
      </w:r>
      <w:proofErr w:type="spellEnd"/>
      <w:r w:rsidR="006002E2" w:rsidRPr="005F6B11">
        <w:t xml:space="preserve"> (2019).</w:t>
      </w:r>
    </w:p>
    <w:p w14:paraId="53CD4957" w14:textId="0ECCD50B" w:rsidR="004C60B4" w:rsidRPr="005F6B11" w:rsidRDefault="004C60B4" w:rsidP="00BB3279">
      <w:pPr>
        <w:pStyle w:val="Overskrift2"/>
      </w:pPr>
      <w:r w:rsidRPr="005F6B11">
        <w:t>Råstoffer i containere</w:t>
      </w:r>
    </w:p>
    <w:p w14:paraId="058360E1" w14:textId="77777777" w:rsidR="004C60B4" w:rsidRPr="005F6B11" w:rsidRDefault="004C60B4" w:rsidP="004C60B4">
      <w:pPr>
        <w:pStyle w:val="MainmainMAIN"/>
        <w:spacing w:after="0"/>
      </w:pPr>
      <w:r w:rsidRPr="005F6B11">
        <w:rPr>
          <w:i/>
          <w:iCs/>
        </w:rPr>
        <w:t>Formål</w:t>
      </w:r>
    </w:p>
    <w:p w14:paraId="1C285C26" w14:textId="2D5FCC7F" w:rsidR="004C60B4" w:rsidRPr="005F6B11" w:rsidRDefault="004C60B4" w:rsidP="004C60B4">
      <w:pPr>
        <w:pStyle w:val="MainmainMAIN"/>
        <w:spacing w:after="0"/>
      </w:pPr>
      <w:r w:rsidRPr="005F6B11">
        <w:t>At få et indblik i hvor store mængder af metaller der indgår i et produkt som containeren.</w:t>
      </w:r>
    </w:p>
    <w:p w14:paraId="4F34F74E" w14:textId="77777777" w:rsidR="00BB3279" w:rsidRPr="005F6B11" w:rsidRDefault="00BB3279" w:rsidP="004C60B4">
      <w:pPr>
        <w:pStyle w:val="MainmainMAIN"/>
        <w:spacing w:after="0"/>
      </w:pPr>
    </w:p>
    <w:p w14:paraId="5363F16C" w14:textId="21CC1574" w:rsidR="004C60B4" w:rsidRPr="005F6B11" w:rsidRDefault="004C60B4" w:rsidP="004C60B4">
      <w:pPr>
        <w:pStyle w:val="MainmainMAIN"/>
        <w:spacing w:after="0"/>
      </w:pPr>
      <w:r w:rsidRPr="005F6B11">
        <w:rPr>
          <w:i/>
          <w:iCs/>
        </w:rPr>
        <w:t>Opgave</w:t>
      </w:r>
    </w:p>
    <w:p w14:paraId="3C31B159" w14:textId="748DD44C" w:rsidR="004C60B4" w:rsidRPr="005F6B11" w:rsidRDefault="004C60B4" w:rsidP="004C60B4">
      <w:pPr>
        <w:pStyle w:val="MainmainMAIN"/>
        <w:spacing w:after="0"/>
      </w:pPr>
      <w:r w:rsidRPr="005F6B11">
        <w:t xml:space="preserve">Brug de oplysninger der er i Figur 93 </w:t>
      </w:r>
      <w:r w:rsidRPr="005F6B11">
        <w:rPr>
          <w:i/>
          <w:iCs/>
        </w:rPr>
        <w:t>Containerdimensioner</w:t>
      </w:r>
      <w:r w:rsidRPr="005F6B11">
        <w:t xml:space="preserve"> og Figur 96 </w:t>
      </w:r>
      <w:r w:rsidRPr="005F6B11">
        <w:rPr>
          <w:i/>
          <w:iCs/>
        </w:rPr>
        <w:t>Råstofforbruget til ISO-containere</w:t>
      </w:r>
      <w:r w:rsidRPr="005F6B11">
        <w:t>. Beregn hvor store mængder mangan, krom, nikkel, kobber og jern (målt i ton) der skal bruges for at producere 10 mio. TEU</w:t>
      </w:r>
      <w:r w:rsidR="00BB3279" w:rsidRPr="005F6B11">
        <w:t>-</w:t>
      </w:r>
      <w:r w:rsidRPr="005F6B11">
        <w:t>containere. </w:t>
      </w:r>
    </w:p>
    <w:p w14:paraId="596D7980" w14:textId="70FCB29E" w:rsidR="004C60B4" w:rsidRPr="005F6B11" w:rsidRDefault="004C60B4" w:rsidP="004C60B4">
      <w:pPr>
        <w:pStyle w:val="MainmainMAIN"/>
        <w:spacing w:after="0"/>
      </w:pPr>
      <w:r w:rsidRPr="005F6B11">
        <w:rPr>
          <w:noProof/>
        </w:rPr>
        <w:lastRenderedPageBreak/>
        <w:drawing>
          <wp:inline distT="0" distB="0" distL="0" distR="0" wp14:anchorId="0FE01D24" wp14:editId="09C7F2E6">
            <wp:extent cx="3600000" cy="2264400"/>
            <wp:effectExtent l="0" t="0" r="635" b="317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2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AF8FE" w14:textId="011AF754" w:rsidR="004C60B4" w:rsidRPr="005F6B11" w:rsidRDefault="004C60B4" w:rsidP="00BB3279">
      <w:pPr>
        <w:pStyle w:val="SubfigureSUB"/>
      </w:pPr>
      <w:r w:rsidRPr="005F6B11">
        <w:rPr>
          <w:color w:val="FF0000"/>
        </w:rPr>
        <w:t>Figur 96</w:t>
      </w:r>
      <w:r w:rsidR="006E455E" w:rsidRPr="005F6B11">
        <w:rPr>
          <w:color w:val="FF0000"/>
        </w:rPr>
        <w:t>.</w:t>
      </w:r>
      <w:r w:rsidRPr="005F6B11">
        <w:t xml:space="preserve"> Beregning af råstofforbruget til ISO-containere fremstillet af </w:t>
      </w:r>
      <w:proofErr w:type="spellStart"/>
      <w:r w:rsidRPr="005F6B11">
        <w:t>cortenstål</w:t>
      </w:r>
      <w:proofErr w:type="spellEnd"/>
      <w:r w:rsidRPr="005F6B11">
        <w:t xml:space="preserve">. Det antages, at der skal bruges 2,3 ton </w:t>
      </w:r>
      <w:proofErr w:type="spellStart"/>
      <w:r w:rsidRPr="005F6B11">
        <w:t>cortenstål</w:t>
      </w:r>
      <w:proofErr w:type="spellEnd"/>
      <w:r w:rsidRPr="005F6B11">
        <w:t xml:space="preserve"> til en TEU. Af </w:t>
      </w:r>
      <w:proofErr w:type="spellStart"/>
      <w:r w:rsidRPr="005F6B11">
        <w:t>MiMa</w:t>
      </w:r>
      <w:proofErr w:type="spellEnd"/>
      <w:r w:rsidRPr="005F6B11">
        <w:t xml:space="preserve"> (2019).</w:t>
      </w:r>
    </w:p>
    <w:p w14:paraId="068F0BC8" w14:textId="4426D14A" w:rsidR="004C60B4" w:rsidRPr="005F6B11" w:rsidRDefault="004C60B4" w:rsidP="004C60B4">
      <w:pPr>
        <w:pStyle w:val="MainmainMAIN"/>
        <w:spacing w:after="0"/>
      </w:pPr>
    </w:p>
    <w:p w14:paraId="38C3B386" w14:textId="7D530B18" w:rsidR="004C60B4" w:rsidRPr="005F6B11" w:rsidRDefault="004C60B4" w:rsidP="006E455E">
      <w:pPr>
        <w:pStyle w:val="MainmainMAIN"/>
        <w:numPr>
          <w:ilvl w:val="0"/>
          <w:numId w:val="27"/>
        </w:numPr>
        <w:spacing w:after="0"/>
      </w:pPr>
      <w:r w:rsidRPr="005F6B11">
        <w:t xml:space="preserve">Sammenlign de beregnede mængder der skal bruges, med de mængder der blev brudt i minerne i 2018. I USGS Mineral </w:t>
      </w:r>
      <w:proofErr w:type="spellStart"/>
      <w:r w:rsidRPr="005F6B11">
        <w:t>Commodity</w:t>
      </w:r>
      <w:proofErr w:type="spellEnd"/>
      <w:r w:rsidRPr="005F6B11">
        <w:t xml:space="preserve"> </w:t>
      </w:r>
      <w:proofErr w:type="spellStart"/>
      <w:r w:rsidRPr="005F6B11">
        <w:t>Summaries</w:t>
      </w:r>
      <w:proofErr w:type="spellEnd"/>
      <w:r w:rsidRPr="005F6B11">
        <w:t xml:space="preserve"> 2019, </w:t>
      </w:r>
      <w:hyperlink r:id="rId14" w:history="1">
        <w:r w:rsidR="006813C9" w:rsidRPr="005F6B11">
          <w:rPr>
            <w:rStyle w:val="Hyperlink"/>
          </w:rPr>
          <w:t>https://pubs.usgs.gov/periodicals/mcs2020/mcs2020.pdf</w:t>
        </w:r>
      </w:hyperlink>
      <w:r w:rsidRPr="005F6B11">
        <w:t>, finder du tal for mangan (side 105), krom (side 47), nikkel (side 113), kobber (side 53) og jern (side 88). </w:t>
      </w:r>
    </w:p>
    <w:p w14:paraId="46CAFA8A" w14:textId="43B56F91" w:rsidR="004C60B4" w:rsidRPr="005F6B11" w:rsidRDefault="004C60B4" w:rsidP="006E455E">
      <w:pPr>
        <w:pStyle w:val="MainmainMAIN"/>
        <w:numPr>
          <w:ilvl w:val="0"/>
          <w:numId w:val="27"/>
        </w:numPr>
        <w:spacing w:after="0"/>
      </w:pPr>
      <w:r w:rsidRPr="005F6B11">
        <w:t xml:space="preserve">Diskutér om en årlig produktion af </w:t>
      </w:r>
      <w:r w:rsidR="00D16ABF" w:rsidRPr="005F6B11">
        <w:t>10 mio. TEU-</w:t>
      </w:r>
      <w:r w:rsidRPr="005F6B11">
        <w:t xml:space="preserve">containere </w:t>
      </w:r>
      <w:r w:rsidR="003C0B59" w:rsidRPr="005F6B11">
        <w:t>forbruger</w:t>
      </w:r>
      <w:r w:rsidRPr="005F6B11">
        <w:t xml:space="preserve"> en væsentlig del (fx &gt;5 %) af verdens samlede produktion af de nævnte metaller.</w:t>
      </w:r>
    </w:p>
    <w:p w14:paraId="73FA5852" w14:textId="77777777" w:rsidR="004C60B4" w:rsidRPr="005F6B11" w:rsidRDefault="004C60B4" w:rsidP="006E455E">
      <w:pPr>
        <w:pStyle w:val="MainmainMAIN"/>
        <w:numPr>
          <w:ilvl w:val="0"/>
          <w:numId w:val="27"/>
        </w:numPr>
        <w:spacing w:after="0"/>
      </w:pPr>
      <w:r w:rsidRPr="005F6B11">
        <w:t>Diskutér hvor hovedparten af det jern, der bruges til containere, højst sandsynligt kommer fra? </w:t>
      </w:r>
    </w:p>
    <w:p w14:paraId="7484A5D9" w14:textId="661B39F9" w:rsidR="004C60B4" w:rsidRPr="005F6B11" w:rsidRDefault="004C60B4" w:rsidP="006E455E">
      <w:pPr>
        <w:pStyle w:val="MainmainMAIN"/>
        <w:numPr>
          <w:ilvl w:val="0"/>
          <w:numId w:val="27"/>
        </w:numPr>
        <w:spacing w:after="0"/>
      </w:pPr>
      <w:r w:rsidRPr="005F6B11">
        <w:t>Diskutér om genanvendelse af metaller fra containere, der ikke længere er i brug, vil udgøre et vigtigt bidrag til genanvendelse af disse metaller. </w:t>
      </w:r>
    </w:p>
    <w:p w14:paraId="637377D4" w14:textId="31A365DB" w:rsidR="00EB4459" w:rsidRPr="005F6B11" w:rsidRDefault="00EB4459" w:rsidP="00F26EA6">
      <w:pPr>
        <w:tabs>
          <w:tab w:val="left" w:pos="3223"/>
        </w:tabs>
      </w:pPr>
    </w:p>
    <w:sectPr w:rsidR="00EB4459" w:rsidRPr="005F6B11" w:rsidSect="00434A9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A9B8E" w14:textId="77777777" w:rsidR="0029752E" w:rsidRDefault="0029752E">
      <w:r>
        <w:separator/>
      </w:r>
    </w:p>
  </w:endnote>
  <w:endnote w:type="continuationSeparator" w:id="0">
    <w:p w14:paraId="1921EE09" w14:textId="77777777" w:rsidR="0029752E" w:rsidRDefault="0029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D49B3" w14:textId="77777777" w:rsidR="00434A9C" w:rsidRDefault="00434A9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B8FD8" w14:textId="77777777" w:rsidR="0029752E" w:rsidRDefault="0029752E">
      <w:r>
        <w:separator/>
      </w:r>
    </w:p>
  </w:footnote>
  <w:footnote w:type="continuationSeparator" w:id="0">
    <w:p w14:paraId="6786BD8A" w14:textId="77777777" w:rsidR="0029752E" w:rsidRDefault="00297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A93EE" w14:textId="77777777" w:rsidR="00434A9C" w:rsidRDefault="00434A9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480CDFBE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3E6185">
      <w:rPr>
        <w:rFonts w:ascii="KievitPro-Regular" w:hAnsi="KievitPro-Regular"/>
        <w:color w:val="000000"/>
        <w:sz w:val="18"/>
        <w:szCs w:val="18"/>
      </w:rPr>
      <w:t>1</w:t>
    </w:r>
    <w:r w:rsidR="00DB4428">
      <w:rPr>
        <w:rFonts w:ascii="KievitPro-Regular" w:hAnsi="KievitPro-Regular"/>
        <w:color w:val="000000"/>
        <w:sz w:val="18"/>
        <w:szCs w:val="18"/>
      </w:rPr>
      <w:t>2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BE65D14"/>
    <w:lvl w:ilvl="0">
      <w:start w:val="12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53366"/>
    <w:multiLevelType w:val="hybridMultilevel"/>
    <w:tmpl w:val="1234BC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46498"/>
    <w:multiLevelType w:val="multilevel"/>
    <w:tmpl w:val="A90E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371CAC"/>
    <w:multiLevelType w:val="hybridMultilevel"/>
    <w:tmpl w:val="767C0E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2145A"/>
    <w:multiLevelType w:val="multilevel"/>
    <w:tmpl w:val="EE24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511A95"/>
    <w:multiLevelType w:val="multilevel"/>
    <w:tmpl w:val="FCCCC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3C0593"/>
    <w:multiLevelType w:val="multilevel"/>
    <w:tmpl w:val="050E4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746A9C"/>
    <w:multiLevelType w:val="multilevel"/>
    <w:tmpl w:val="6460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18"/>
  </w:num>
  <w:num w:numId="5">
    <w:abstractNumId w:val="15"/>
  </w:num>
  <w:num w:numId="6">
    <w:abstractNumId w:val="10"/>
  </w:num>
  <w:num w:numId="7">
    <w:abstractNumId w:val="13"/>
  </w:num>
  <w:num w:numId="8">
    <w:abstractNumId w:val="11"/>
  </w:num>
  <w:num w:numId="9">
    <w:abstractNumId w:val="3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"/>
  </w:num>
  <w:num w:numId="15">
    <w:abstractNumId w:val="0"/>
  </w:num>
  <w:num w:numId="16">
    <w:abstractNumId w:val="20"/>
  </w:num>
  <w:num w:numId="17">
    <w:abstractNumId w:val="16"/>
  </w:num>
  <w:num w:numId="18">
    <w:abstractNumId w:val="4"/>
  </w:num>
  <w:num w:numId="19">
    <w:abstractNumId w:val="0"/>
  </w:num>
  <w:num w:numId="20">
    <w:abstractNumId w:val="9"/>
  </w:num>
  <w:num w:numId="21">
    <w:abstractNumId w:val="6"/>
  </w:num>
  <w:num w:numId="22">
    <w:abstractNumId w:val="7"/>
  </w:num>
  <w:num w:numId="23">
    <w:abstractNumId w:val="0"/>
  </w:num>
  <w:num w:numId="24">
    <w:abstractNumId w:val="2"/>
  </w:num>
  <w:num w:numId="25">
    <w:abstractNumId w:val="0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A5BD5"/>
    <w:rsid w:val="000B7ACD"/>
    <w:rsid w:val="001021B8"/>
    <w:rsid w:val="00106540"/>
    <w:rsid w:val="00172E37"/>
    <w:rsid w:val="00176155"/>
    <w:rsid w:val="00180FED"/>
    <w:rsid w:val="00185784"/>
    <w:rsid w:val="001A6822"/>
    <w:rsid w:val="001B0C5F"/>
    <w:rsid w:val="001C0452"/>
    <w:rsid w:val="001E4E71"/>
    <w:rsid w:val="001F72B4"/>
    <w:rsid w:val="00220D26"/>
    <w:rsid w:val="00225BA7"/>
    <w:rsid w:val="00234AE2"/>
    <w:rsid w:val="00241695"/>
    <w:rsid w:val="002725C7"/>
    <w:rsid w:val="0027446C"/>
    <w:rsid w:val="0029752E"/>
    <w:rsid w:val="002C4839"/>
    <w:rsid w:val="002C7CB9"/>
    <w:rsid w:val="00322C4B"/>
    <w:rsid w:val="003271F5"/>
    <w:rsid w:val="00340EE2"/>
    <w:rsid w:val="00347F03"/>
    <w:rsid w:val="00351958"/>
    <w:rsid w:val="003C0B59"/>
    <w:rsid w:val="003E130A"/>
    <w:rsid w:val="003E6185"/>
    <w:rsid w:val="00413567"/>
    <w:rsid w:val="00434A9C"/>
    <w:rsid w:val="00454D4A"/>
    <w:rsid w:val="0046481C"/>
    <w:rsid w:val="00487BDA"/>
    <w:rsid w:val="0049282C"/>
    <w:rsid w:val="00496CE0"/>
    <w:rsid w:val="004A12CA"/>
    <w:rsid w:val="004B0D9D"/>
    <w:rsid w:val="004B6F34"/>
    <w:rsid w:val="004C60B4"/>
    <w:rsid w:val="00563BB3"/>
    <w:rsid w:val="00582BD9"/>
    <w:rsid w:val="005C6A25"/>
    <w:rsid w:val="005F6B11"/>
    <w:rsid w:val="006002E2"/>
    <w:rsid w:val="006028EF"/>
    <w:rsid w:val="006813C9"/>
    <w:rsid w:val="006A1455"/>
    <w:rsid w:val="006A549A"/>
    <w:rsid w:val="006D68CC"/>
    <w:rsid w:val="006E455E"/>
    <w:rsid w:val="006E6D0E"/>
    <w:rsid w:val="0070090A"/>
    <w:rsid w:val="00735EC7"/>
    <w:rsid w:val="007500A1"/>
    <w:rsid w:val="007737BA"/>
    <w:rsid w:val="00792A55"/>
    <w:rsid w:val="007A0875"/>
    <w:rsid w:val="007F041D"/>
    <w:rsid w:val="0080258C"/>
    <w:rsid w:val="00832605"/>
    <w:rsid w:val="00864FE9"/>
    <w:rsid w:val="00866CD7"/>
    <w:rsid w:val="0087237B"/>
    <w:rsid w:val="008B5400"/>
    <w:rsid w:val="008C7AB9"/>
    <w:rsid w:val="008D6336"/>
    <w:rsid w:val="008D76CB"/>
    <w:rsid w:val="008F0809"/>
    <w:rsid w:val="009100C3"/>
    <w:rsid w:val="00922C5F"/>
    <w:rsid w:val="00940432"/>
    <w:rsid w:val="00942347"/>
    <w:rsid w:val="009726A5"/>
    <w:rsid w:val="00987097"/>
    <w:rsid w:val="009B6F0A"/>
    <w:rsid w:val="009C1298"/>
    <w:rsid w:val="009C1B24"/>
    <w:rsid w:val="009F7060"/>
    <w:rsid w:val="00A038F3"/>
    <w:rsid w:val="00A3043D"/>
    <w:rsid w:val="00A5447D"/>
    <w:rsid w:val="00A70016"/>
    <w:rsid w:val="00A95E18"/>
    <w:rsid w:val="00AB643B"/>
    <w:rsid w:val="00AD2D8C"/>
    <w:rsid w:val="00AD5E2A"/>
    <w:rsid w:val="00AD69D5"/>
    <w:rsid w:val="00B2209A"/>
    <w:rsid w:val="00B36857"/>
    <w:rsid w:val="00B725D1"/>
    <w:rsid w:val="00B918EA"/>
    <w:rsid w:val="00BA0D9E"/>
    <w:rsid w:val="00BB3279"/>
    <w:rsid w:val="00BD5A80"/>
    <w:rsid w:val="00BF58C8"/>
    <w:rsid w:val="00C0269E"/>
    <w:rsid w:val="00C03B79"/>
    <w:rsid w:val="00C31882"/>
    <w:rsid w:val="00C57EAA"/>
    <w:rsid w:val="00C67C1F"/>
    <w:rsid w:val="00C8402D"/>
    <w:rsid w:val="00C93BA7"/>
    <w:rsid w:val="00CD1D4C"/>
    <w:rsid w:val="00CE6FC5"/>
    <w:rsid w:val="00D16ABF"/>
    <w:rsid w:val="00D43F8A"/>
    <w:rsid w:val="00D44852"/>
    <w:rsid w:val="00D85BF3"/>
    <w:rsid w:val="00DA0E0B"/>
    <w:rsid w:val="00DB2CC6"/>
    <w:rsid w:val="00DB4428"/>
    <w:rsid w:val="00DE6FC2"/>
    <w:rsid w:val="00E01604"/>
    <w:rsid w:val="00E135E4"/>
    <w:rsid w:val="00E1403A"/>
    <w:rsid w:val="00E253AF"/>
    <w:rsid w:val="00E37668"/>
    <w:rsid w:val="00EB4459"/>
    <w:rsid w:val="00F107BF"/>
    <w:rsid w:val="00F26EA6"/>
    <w:rsid w:val="00F5422A"/>
    <w:rsid w:val="00F56238"/>
    <w:rsid w:val="00F65D72"/>
    <w:rsid w:val="00F85D9C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udgetshippingcontainers.co.uk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ubs.usgs.gov/periodicals/mcs2020/mcs2020.pdf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376EDE-12E5-4924-9B6A-4CD09FE1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277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119</cp:revision>
  <cp:lastPrinted>2020-04-23T14:14:00Z</cp:lastPrinted>
  <dcterms:created xsi:type="dcterms:W3CDTF">2020-04-23T13:28:00Z</dcterms:created>
  <dcterms:modified xsi:type="dcterms:W3CDTF">2020-08-04T12:06:00Z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